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A" w:rsidRPr="00202ED9" w:rsidRDefault="006475EA" w:rsidP="006475EA">
      <w:pPr>
        <w:jc w:val="center"/>
        <w:rPr>
          <w:rFonts w:ascii="Trebuchet MS" w:hAnsi="Trebuchet MS"/>
          <w:b/>
          <w:sz w:val="20"/>
          <w:szCs w:val="24"/>
        </w:rPr>
      </w:pPr>
      <w:r w:rsidRPr="00202ED9">
        <w:rPr>
          <w:rFonts w:ascii="Trebuchet MS" w:hAnsi="Trebuchet MS"/>
          <w:b/>
          <w:sz w:val="20"/>
          <w:szCs w:val="24"/>
        </w:rPr>
        <w:t>FAUNA</w:t>
      </w:r>
    </w:p>
    <w:p w:rsidR="006475EA" w:rsidRPr="00202ED9" w:rsidRDefault="006475EA" w:rsidP="006475EA">
      <w:pPr>
        <w:jc w:val="both"/>
        <w:rPr>
          <w:rFonts w:ascii="Trebuchet MS" w:hAnsi="Trebuchet MS"/>
          <w:sz w:val="20"/>
          <w:szCs w:val="24"/>
        </w:rPr>
      </w:pPr>
    </w:p>
    <w:p w:rsidR="006475EA" w:rsidRPr="00202ED9" w:rsidRDefault="001D7748" w:rsidP="006475EA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202ED9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69184"/>
            <wp:effectExtent l="19050" t="0" r="0" b="0"/>
            <wp:docPr id="1" name="Picture 0" descr="F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6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5EA" w:rsidRPr="00202ED9" w:rsidRDefault="006475EA" w:rsidP="006475EA">
      <w:pPr>
        <w:jc w:val="both"/>
        <w:rPr>
          <w:rFonts w:ascii="Trebuchet MS" w:hAnsi="Trebuchet MS"/>
          <w:sz w:val="20"/>
          <w:szCs w:val="24"/>
        </w:rPr>
      </w:pPr>
    </w:p>
    <w:p w:rsidR="001D7748" w:rsidRDefault="006475EA" w:rsidP="008D2EE7">
      <w:pPr>
        <w:jc w:val="both"/>
        <w:rPr>
          <w:rFonts w:ascii="Trebuchet MS" w:hAnsi="Trebuchet MS"/>
          <w:sz w:val="20"/>
          <w:szCs w:val="24"/>
        </w:rPr>
      </w:pPr>
      <w:r w:rsidRPr="00202ED9">
        <w:rPr>
          <w:rFonts w:ascii="Trebuchet MS" w:hAnsi="Trebuchet MS"/>
          <w:sz w:val="20"/>
          <w:szCs w:val="24"/>
        </w:rPr>
        <w:t>Obzirom na tisućljetnu prisutnost čovjeka na brijunskom otočju, životinjski svijet na otocima, posebno na Velikom Brijunu pored autohtonih životinja obogaćen je i mnogobrojnim unešenim vrstama koje nisu svojstvene ovom staništu, ali su se dobro aklimatizirale zahvaljujući gotovo idealnim mikroklimatskim uvjetima.</w:t>
      </w:r>
    </w:p>
    <w:p w:rsidR="008D2EE7" w:rsidRPr="008D2EE7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Životinje u slobodnoj prirodi</w:t>
      </w:r>
    </w:p>
    <w:p w:rsidR="008D2EE7" w:rsidRPr="008D2EE7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Safari park</w:t>
      </w:r>
    </w:p>
    <w:p w:rsidR="008D2EE7" w:rsidRPr="008D2EE7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Etno park</w:t>
      </w:r>
    </w:p>
    <w:p w:rsidR="008D2EE7" w:rsidRPr="008D2EE7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Saline</w:t>
      </w:r>
    </w:p>
    <w:p w:rsidR="008D2EE7" w:rsidRPr="008D2EE7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Morske kornjače na Brijunima</w:t>
      </w:r>
    </w:p>
    <w:p w:rsidR="008D2EE7" w:rsidRPr="00202ED9" w:rsidRDefault="008D2EE7" w:rsidP="008D2EE7">
      <w:pPr>
        <w:spacing w:after="0"/>
        <w:jc w:val="both"/>
        <w:rPr>
          <w:rFonts w:ascii="Trebuchet MS" w:hAnsi="Trebuchet MS"/>
          <w:sz w:val="20"/>
          <w:szCs w:val="24"/>
        </w:rPr>
      </w:pPr>
      <w:r w:rsidRPr="008D2EE7">
        <w:rPr>
          <w:rFonts w:ascii="Trebuchet MS" w:hAnsi="Trebuchet MS"/>
          <w:sz w:val="20"/>
          <w:szCs w:val="24"/>
        </w:rPr>
        <w:t>Kakadu Koki</w:t>
      </w:r>
    </w:p>
    <w:sectPr w:rsidR="008D2EE7" w:rsidRPr="00202ED9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75EA"/>
    <w:rsid w:val="0007220D"/>
    <w:rsid w:val="00093D48"/>
    <w:rsid w:val="001D7748"/>
    <w:rsid w:val="00202ED9"/>
    <w:rsid w:val="003122F7"/>
    <w:rsid w:val="00403BEA"/>
    <w:rsid w:val="00615FDC"/>
    <w:rsid w:val="006475EA"/>
    <w:rsid w:val="0067217A"/>
    <w:rsid w:val="008D2EE7"/>
    <w:rsid w:val="00903A45"/>
    <w:rsid w:val="009B1DAB"/>
    <w:rsid w:val="00C1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dcterms:created xsi:type="dcterms:W3CDTF">2014-04-01T08:40:00Z</dcterms:created>
  <dcterms:modified xsi:type="dcterms:W3CDTF">2015-04-28T18:34:00Z</dcterms:modified>
</cp:coreProperties>
</file>